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935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68"/>
        <w:gridCol w:w="1918"/>
        <w:gridCol w:w="1144"/>
        <w:gridCol w:w="1992"/>
        <w:gridCol w:w="1228"/>
        <w:tblGridChange w:id="0">
          <w:tblGrid>
            <w:gridCol w:w="3068"/>
            <w:gridCol w:w="1918"/>
            <w:gridCol w:w="1144"/>
            <w:gridCol w:w="1992"/>
            <w:gridCol w:w="1228"/>
          </w:tblGrid>
        </w:tblGridChange>
      </w:tblGrid>
      <w:tr>
        <w:trPr>
          <w:trHeight w:val="227" w:hRule="atLeast"/>
        </w:trPr>
        <w:tc>
          <w:tcPr>
            <w:gridSpan w:val="5"/>
            <w:vAlign w:val="center"/>
          </w:tcPr>
          <w:p w:rsidR="00000000" w:rsidDel="00000000" w:rsidP="00000000" w:rsidRDefault="00000000" w:rsidRPr="00000000" w14:paraId="00000002">
            <w:pPr>
              <w:tabs>
                <w:tab w:val="left" w:pos="567"/>
              </w:tabs>
              <w:spacing w:after="60" w:lineRule="auto"/>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Студијски програм: </w:t>
            </w:r>
            <w:r w:rsidDel="00000000" w:rsidR="00000000" w:rsidRPr="00000000">
              <w:rPr>
                <w:rFonts w:ascii="Times New Roman" w:cs="Times New Roman" w:eastAsia="Times New Roman" w:hAnsi="Times New Roman"/>
                <w:sz w:val="20"/>
                <w:szCs w:val="20"/>
                <w:rtl w:val="0"/>
              </w:rPr>
              <w:t xml:space="preserve">Међународне студије, модул: Европске студије</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07">
            <w:pPr>
              <w:tabs>
                <w:tab w:val="left" w:pos="567"/>
              </w:tabs>
              <w:spacing w:after="6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Назив предмета: </w:t>
            </w:r>
            <w:r w:rsidDel="00000000" w:rsidR="00000000" w:rsidRPr="00000000">
              <w:rPr>
                <w:rFonts w:ascii="Times New Roman" w:cs="Times New Roman" w:eastAsia="Times New Roman" w:hAnsi="Times New Roman"/>
                <w:sz w:val="20"/>
                <w:szCs w:val="20"/>
                <w:rtl w:val="0"/>
              </w:rPr>
              <w:t xml:space="preserve">Управљање кризом у Европској унији</w:t>
            </w:r>
          </w:p>
        </w:tc>
      </w:tr>
      <w:tr>
        <w:trPr>
          <w:trHeight w:val="227" w:hRule="atLeast"/>
        </w:trPr>
        <w:tc>
          <w:tcPr>
            <w:gridSpan w:val="5"/>
            <w:vAlign w:val="center"/>
          </w:tcPr>
          <w:p w:rsidR="00000000" w:rsidDel="00000000" w:rsidP="00000000" w:rsidRDefault="00000000" w:rsidRPr="00000000" w14:paraId="0000000C">
            <w:pPr>
              <w:tabs>
                <w:tab w:val="left" w:pos="567"/>
              </w:tabs>
              <w:spacing w:after="60" w:lineRule="auto"/>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Наставник/наставници: </w:t>
            </w:r>
            <w:r w:rsidDel="00000000" w:rsidR="00000000" w:rsidRPr="00000000">
              <w:rPr>
                <w:rFonts w:ascii="Times New Roman" w:cs="Times New Roman" w:eastAsia="Times New Roman" w:hAnsi="Times New Roman"/>
                <w:sz w:val="20"/>
                <w:szCs w:val="20"/>
                <w:rtl w:val="0"/>
              </w:rPr>
              <w:t xml:space="preserve">проф. др Слободан Самарџић, доц. др Ивана Радић Милосављевић</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11">
            <w:pPr>
              <w:tabs>
                <w:tab w:val="left" w:pos="567"/>
              </w:tabs>
              <w:spacing w:after="6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Статус предмета: </w:t>
            </w:r>
            <w:r w:rsidDel="00000000" w:rsidR="00000000" w:rsidRPr="00000000">
              <w:rPr>
                <w:rFonts w:ascii="Times New Roman" w:cs="Times New Roman" w:eastAsia="Times New Roman" w:hAnsi="Times New Roman"/>
                <w:sz w:val="20"/>
                <w:szCs w:val="20"/>
                <w:rtl w:val="0"/>
              </w:rPr>
              <w:t xml:space="preserve">изборни</w:t>
            </w:r>
          </w:p>
        </w:tc>
      </w:tr>
      <w:tr>
        <w:trPr>
          <w:trHeight w:val="227" w:hRule="atLeast"/>
        </w:trPr>
        <w:tc>
          <w:tcPr>
            <w:gridSpan w:val="5"/>
            <w:vAlign w:val="center"/>
          </w:tcPr>
          <w:p w:rsidR="00000000" w:rsidDel="00000000" w:rsidP="00000000" w:rsidRDefault="00000000" w:rsidRPr="00000000" w14:paraId="00000016">
            <w:pPr>
              <w:tabs>
                <w:tab w:val="left" w:pos="567"/>
              </w:tabs>
              <w:spacing w:after="6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Број ЕСПБ: </w:t>
            </w:r>
            <w:r w:rsidDel="00000000" w:rsidR="00000000" w:rsidRPr="00000000">
              <w:rPr>
                <w:rFonts w:ascii="Times New Roman" w:cs="Times New Roman" w:eastAsia="Times New Roman" w:hAnsi="Times New Roman"/>
                <w:sz w:val="20"/>
                <w:szCs w:val="20"/>
                <w:rtl w:val="0"/>
              </w:rPr>
              <w:t xml:space="preserve">6</w:t>
            </w:r>
          </w:p>
        </w:tc>
      </w:tr>
      <w:tr>
        <w:trPr>
          <w:trHeight w:val="227" w:hRule="atLeast"/>
        </w:trPr>
        <w:tc>
          <w:tcPr>
            <w:gridSpan w:val="5"/>
            <w:vAlign w:val="center"/>
          </w:tcPr>
          <w:p w:rsidR="00000000" w:rsidDel="00000000" w:rsidP="00000000" w:rsidRDefault="00000000" w:rsidRPr="00000000" w14:paraId="0000001B">
            <w:pPr>
              <w:tabs>
                <w:tab w:val="left" w:pos="567"/>
              </w:tabs>
              <w:spacing w:after="60" w:lineRule="auto"/>
              <w:jc w:val="both"/>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rtl w:val="0"/>
              </w:rPr>
              <w:t xml:space="preserve">Услов: </w:t>
            </w:r>
            <w:r w:rsidDel="00000000" w:rsidR="00000000" w:rsidRPr="00000000">
              <w:rPr>
                <w:rFonts w:ascii="Times New Roman" w:cs="Times New Roman" w:eastAsia="Times New Roman" w:hAnsi="Times New Roman"/>
                <w:sz w:val="20"/>
                <w:szCs w:val="20"/>
                <w:highlight w:val="white"/>
                <w:rtl w:val="0"/>
              </w:rPr>
              <w:t xml:space="preserve">основно познавање институција и процеса одлучивања у ЕУ</w:t>
            </w:r>
          </w:p>
        </w:tc>
      </w:tr>
      <w:tr>
        <w:trPr>
          <w:trHeight w:val="227" w:hRule="atLeast"/>
        </w:trPr>
        <w:tc>
          <w:tcPr>
            <w:gridSpan w:val="5"/>
            <w:vAlign w:val="center"/>
          </w:tcPr>
          <w:p w:rsidR="00000000" w:rsidDel="00000000" w:rsidP="00000000" w:rsidRDefault="00000000" w:rsidRPr="00000000" w14:paraId="00000020">
            <w:pPr>
              <w:tabs>
                <w:tab w:val="left" w:pos="567"/>
              </w:tabs>
              <w:spacing w:after="60" w:lineRule="auto"/>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Циљ предмета</w:t>
            </w:r>
          </w:p>
          <w:p w:rsidR="00000000" w:rsidDel="00000000" w:rsidP="00000000" w:rsidRDefault="00000000" w:rsidRPr="00000000" w14:paraId="00000021">
            <w:pPr>
              <w:tabs>
                <w:tab w:val="left" w:pos="567"/>
              </w:tabs>
              <w:spacing w:after="6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Овај предмет има за циљ да припреми студенте за изучавање узрока и последица кризе управљања ЕУ која је почела да се назире са крахом уставног пројекта 2005. године да би са избијањем кризе јавних дугова 2009. године постала очигледна. Након бројних криза које су уследиле (попут мигрантске, украјинске, Брегзит-а и коначно пандемије Ковида-19), данас је међу релевантним истраживачима европске интеграције широко распрострањено уверење да је криза постала трајна стварност Европске уније и модус у којем она наставља да функционише. Студенти кроз овај курс добијају могућност да посматрају досадашњи развој ЕЗ/ЕУ са становишта бројних криза са којима су се главни актери процеса интеграције суочавали од оснивања Европских заједница до данас. Проучавање узрока застоја у досадашњем току европских интеграција и начина њиховог превазилажења треба да омогући студентима да разумеју специфичност кризе кроз коју пролази данашња Европска унија. Циљ курса је и да студенти стекну дубљи увид у природу институционалних и политичких промена кроз које пролази Европска унија у епохи кризе. То ће им омогућити да сагледају темељни преображај политичке природе ЕУ као и далекосежне социјалне, економске и политичке последице које тај преображај доноси.</w:t>
            </w:r>
          </w:p>
        </w:tc>
      </w:tr>
      <w:tr>
        <w:trPr>
          <w:trHeight w:val="227" w:hRule="atLeast"/>
        </w:trPr>
        <w:tc>
          <w:tcPr>
            <w:gridSpan w:val="5"/>
            <w:vAlign w:val="center"/>
          </w:tcPr>
          <w:p w:rsidR="00000000" w:rsidDel="00000000" w:rsidP="00000000" w:rsidRDefault="00000000" w:rsidRPr="00000000" w14:paraId="00000026">
            <w:pPr>
              <w:tabs>
                <w:tab w:val="left" w:pos="567"/>
              </w:tabs>
              <w:spacing w:after="60" w:lineRule="auto"/>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Исход предмета </w:t>
            </w:r>
          </w:p>
          <w:p w:rsidR="00000000" w:rsidDel="00000000" w:rsidP="00000000" w:rsidRDefault="00000000" w:rsidRPr="00000000" w14:paraId="00000027">
            <w:pPr>
              <w:tabs>
                <w:tab w:val="left" w:pos="567"/>
              </w:tabs>
              <w:spacing w:after="6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Овим предметом студенти се квалификују за обављање најсложенијих теоријских анализа природе, смисла и правца европских интеграција. Тако их овај предмет упућује на наставак студија европских интеграција на највишем нивоу – ка докторским студијама. Практични значај предмета огледа се у томе што ће омогућити студентима да се као истраживачи или политички делатници оријентишу у епохи кризе у којој сви класични појмови политичке мисли доживљавају темељну трансформацију. Тако студенти ових студија који се после овог нивоа студија усмеравају на практичну делатност могу, захваљујући овом предмету, вршити квалификоване политичке анализе стања у Унији од користи за све могуће службе и ангажмане у јавном сектору.</w:t>
            </w:r>
          </w:p>
        </w:tc>
      </w:tr>
      <w:tr>
        <w:trPr>
          <w:trHeight w:val="227" w:hRule="atLeast"/>
        </w:trPr>
        <w:tc>
          <w:tcPr>
            <w:gridSpan w:val="5"/>
            <w:vAlign w:val="center"/>
          </w:tcPr>
          <w:p w:rsidR="00000000" w:rsidDel="00000000" w:rsidP="00000000" w:rsidRDefault="00000000" w:rsidRPr="00000000" w14:paraId="0000002C">
            <w:pPr>
              <w:tabs>
                <w:tab w:val="left" w:pos="567"/>
              </w:tabs>
              <w:spacing w:after="60" w:lineRule="auto"/>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Садржај предмета</w:t>
            </w:r>
          </w:p>
          <w:p w:rsidR="00000000" w:rsidDel="00000000" w:rsidP="00000000" w:rsidRDefault="00000000" w:rsidRPr="00000000" w14:paraId="0000002D">
            <w:pPr>
              <w:tabs>
                <w:tab w:val="left" w:pos="567"/>
              </w:tabs>
              <w:spacing w:after="60" w:lineRule="auto"/>
              <w:jc w:val="both"/>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Теоријска настава</w:t>
            </w:r>
          </w:p>
          <w:p w:rsidR="00000000" w:rsidDel="00000000" w:rsidP="00000000" w:rsidRDefault="00000000" w:rsidRPr="00000000" w14:paraId="0000002E">
            <w:pPr>
              <w:tabs>
                <w:tab w:val="left" w:pos="567"/>
              </w:tabs>
              <w:spacing w:after="6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Криза друштвених система уопште; Преглед кризних аспеката интеграције од оснивања Европских заједница до Јединственог европског акта(ЈЕА); Преглед кризних аспеката интеграције од ЈЕА до данас; Однос институција и актера ЕЗ/ЕУ у контексту превладавања кризе; Кризе интеграције као чинилац промене оснивачких уговора; Неуспели уставни пројекат као чинилац кризе легитимности ЕУ; Светска економска криза из 2008.године и њен утицај на економску и монетарну унију; Економска и монетарна унија као слабо место система интеграције; Појаве дисфункционалности система; покушаји обуздавања и решавања кризе; Механизми решавања кризе – нове институције и нови уговори; Стратегије држава чланица у контексту решавања кризе; Миграције и криза изазвана пандемијом Ковида-19 као нови кризни феномени; Криза као тест солидарности, кључних достигнућа и сврхе ЕУ.</w:t>
            </w:r>
          </w:p>
          <w:p w:rsidR="00000000" w:rsidDel="00000000" w:rsidP="00000000" w:rsidRDefault="00000000" w:rsidRPr="00000000" w14:paraId="0000002F">
            <w:pPr>
              <w:tabs>
                <w:tab w:val="left" w:pos="567"/>
              </w:tabs>
              <w:spacing w:after="60" w:lineRule="auto"/>
              <w:jc w:val="both"/>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Практична настава </w:t>
            </w:r>
          </w:p>
          <w:tbl>
            <w:tblPr>
              <w:tblStyle w:val="Table2"/>
              <w:tblW w:w="9134.0" w:type="dxa"/>
              <w:jc w:val="left"/>
              <w:tblBorders>
                <w:top w:color="000000" w:space="0" w:sz="0" w:val="nil"/>
                <w:left w:color="000000" w:space="0" w:sz="0" w:val="nil"/>
                <w:bottom w:color="000000" w:space="0" w:sz="0" w:val="nil"/>
                <w:right w:color="000000" w:space="0" w:sz="0" w:val="nil"/>
              </w:tblBorders>
              <w:tblLayout w:type="fixed"/>
              <w:tblLook w:val="0000"/>
            </w:tblPr>
            <w:tblGrid>
              <w:gridCol w:w="9134"/>
              <w:tblGridChange w:id="0">
                <w:tblGrid>
                  <w:gridCol w:w="9134"/>
                </w:tblGrid>
              </w:tblGridChange>
            </w:tblGrid>
            <w:tr>
              <w:trPr>
                <w:trHeight w:val="205" w:hRule="atLeast"/>
              </w:trPr>
              <w:tc>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Вежбе из овог предмета прате теме предавања. Студенти имају обавезу да припреме презентацију на одабрану тему после које се одвија дискусија. </w:t>
                  </w:r>
                </w:p>
              </w:tc>
            </w:tr>
          </w:tbl>
          <w:p w:rsidR="00000000" w:rsidDel="00000000" w:rsidP="00000000" w:rsidRDefault="00000000" w:rsidRPr="00000000" w14:paraId="00000031">
            <w:pPr>
              <w:tabs>
                <w:tab w:val="left" w:pos="567"/>
              </w:tabs>
              <w:spacing w:after="60" w:lineRule="auto"/>
              <w:jc w:val="both"/>
              <w:rPr>
                <w:rFonts w:ascii="Times New Roman" w:cs="Times New Roman" w:eastAsia="Times New Roman" w:hAnsi="Times New Roman"/>
                <w:sz w:val="20"/>
                <w:szCs w:val="20"/>
              </w:rPr>
            </w:pP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36">
            <w:pPr>
              <w:tabs>
                <w:tab w:val="left" w:pos="567"/>
              </w:tabs>
              <w:spacing w:after="60" w:lineRule="auto"/>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Литература </w:t>
            </w:r>
          </w:p>
          <w:p w:rsidR="00000000" w:rsidDel="00000000" w:rsidP="00000000" w:rsidRDefault="00000000" w:rsidRPr="00000000" w14:paraId="00000037">
            <w:pPr>
              <w:tabs>
                <w:tab w:val="left" w:pos="567"/>
              </w:tabs>
              <w:spacing w:after="60" w:lineRule="auto"/>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а) обавезна</w:t>
            </w:r>
          </w:p>
          <w:p w:rsidR="00000000" w:rsidDel="00000000" w:rsidP="00000000" w:rsidRDefault="00000000" w:rsidRPr="00000000" w14:paraId="00000038">
            <w:pPr>
              <w:tabs>
                <w:tab w:val="left" w:pos="567"/>
              </w:tabs>
              <w:spacing w:after="6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Слободан Самарџић, </w:t>
            </w:r>
            <w:r w:rsidDel="00000000" w:rsidR="00000000" w:rsidRPr="00000000">
              <w:rPr>
                <w:rFonts w:ascii="Times New Roman" w:cs="Times New Roman" w:eastAsia="Times New Roman" w:hAnsi="Times New Roman"/>
                <w:i w:val="1"/>
                <w:sz w:val="20"/>
                <w:szCs w:val="20"/>
                <w:rtl w:val="0"/>
              </w:rPr>
              <w:t xml:space="preserve">Европска унија: систем у кризи</w:t>
            </w:r>
            <w:r w:rsidDel="00000000" w:rsidR="00000000" w:rsidRPr="00000000">
              <w:rPr>
                <w:rFonts w:ascii="Times New Roman" w:cs="Times New Roman" w:eastAsia="Times New Roman" w:hAnsi="Times New Roman"/>
                <w:sz w:val="20"/>
                <w:szCs w:val="20"/>
                <w:rtl w:val="0"/>
              </w:rPr>
              <w:t xml:space="preserve">, Издавачка књижарница Зорана Стојановића, 2016, стр. 15-198</w:t>
            </w:r>
          </w:p>
          <w:p w:rsidR="00000000" w:rsidDel="00000000" w:rsidP="00000000" w:rsidRDefault="00000000" w:rsidRPr="00000000" w14:paraId="00000039">
            <w:pPr>
              <w:tabs>
                <w:tab w:val="left" w:pos="567"/>
              </w:tabs>
              <w:spacing w:after="6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Desmond Dinan, Neill Nugent, William E. Paterson, </w:t>
            </w:r>
            <w:r w:rsidDel="00000000" w:rsidR="00000000" w:rsidRPr="00000000">
              <w:rPr>
                <w:rFonts w:ascii="Times New Roman" w:cs="Times New Roman" w:eastAsia="Times New Roman" w:hAnsi="Times New Roman"/>
                <w:i w:val="1"/>
                <w:sz w:val="20"/>
                <w:szCs w:val="20"/>
                <w:rtl w:val="0"/>
              </w:rPr>
              <w:t xml:space="preserve">The European Union in Crisis</w:t>
            </w:r>
            <w:r w:rsidDel="00000000" w:rsidR="00000000" w:rsidRPr="00000000">
              <w:rPr>
                <w:rFonts w:ascii="Times New Roman" w:cs="Times New Roman" w:eastAsia="Times New Roman" w:hAnsi="Times New Roman"/>
                <w:sz w:val="20"/>
                <w:szCs w:val="20"/>
                <w:rtl w:val="0"/>
              </w:rPr>
              <w:t xml:space="preserve">, Palgrave Macmillan, London, 2017, стр. 1-16, 54-131, 167-186, 336-375 </w:t>
            </w:r>
          </w:p>
          <w:p w:rsidR="00000000" w:rsidDel="00000000" w:rsidP="00000000" w:rsidRDefault="00000000" w:rsidRPr="00000000" w14:paraId="0000003A">
            <w:pPr>
              <w:tabs>
                <w:tab w:val="left" w:pos="567"/>
              </w:tabs>
              <w:spacing w:after="60" w:lineRule="auto"/>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б) допунска, по избору</w:t>
            </w:r>
          </w:p>
          <w:p w:rsidR="00000000" w:rsidDel="00000000" w:rsidP="00000000" w:rsidRDefault="00000000" w:rsidRPr="00000000" w14:paraId="0000003B">
            <w:pPr>
              <w:tabs>
                <w:tab w:val="left" w:pos="567"/>
              </w:tabs>
              <w:spacing w:after="6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Vivien A. Schmidt (2020) Theorizing institutional change and governance in European responses to the Covid-19 pandemic, Journal of European Integration, 42:8, 1177-1193.</w:t>
            </w:r>
          </w:p>
          <w:p w:rsidR="00000000" w:rsidDel="00000000" w:rsidP="00000000" w:rsidRDefault="00000000" w:rsidRPr="00000000" w14:paraId="0000003C">
            <w:pPr>
              <w:tabs>
                <w:tab w:val="left" w:pos="567"/>
              </w:tabs>
              <w:spacing w:after="6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Sarah Wolff &amp; Stella Ladi (2020), European Union Responses to the Covid-19 Pandemic: adaptability in times of Permanent Emergency, Journal of European Integration, 42:8, 1025-1040.</w:t>
            </w:r>
          </w:p>
          <w:p w:rsidR="00000000" w:rsidDel="00000000" w:rsidP="00000000" w:rsidRDefault="00000000" w:rsidRPr="00000000" w14:paraId="0000003D">
            <w:pPr>
              <w:tabs>
                <w:tab w:val="left" w:pos="567"/>
              </w:tabs>
              <w:spacing w:after="6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Ивана Радић Милосављевић, "Криза као фактор политизације у Европској унији ", </w:t>
            </w:r>
            <w:r w:rsidDel="00000000" w:rsidR="00000000" w:rsidRPr="00000000">
              <w:rPr>
                <w:rFonts w:ascii="Times New Roman" w:cs="Times New Roman" w:eastAsia="Times New Roman" w:hAnsi="Times New Roman"/>
                <w:i w:val="1"/>
                <w:sz w:val="20"/>
                <w:szCs w:val="20"/>
                <w:rtl w:val="0"/>
              </w:rPr>
              <w:t xml:space="preserve">Српска политичка мисао</w:t>
            </w:r>
            <w:r w:rsidDel="00000000" w:rsidR="00000000" w:rsidRPr="00000000">
              <w:rPr>
                <w:rFonts w:ascii="Times New Roman" w:cs="Times New Roman" w:eastAsia="Times New Roman" w:hAnsi="Times New Roman"/>
                <w:sz w:val="20"/>
                <w:szCs w:val="20"/>
                <w:rtl w:val="0"/>
              </w:rPr>
              <w:t xml:space="preserve">, Институт за политичке студије, Београд, 2/2019, стр. 73-94.</w:t>
            </w:r>
          </w:p>
          <w:p w:rsidR="00000000" w:rsidDel="00000000" w:rsidP="00000000" w:rsidRDefault="00000000" w:rsidRPr="00000000" w14:paraId="0000003E">
            <w:pPr>
              <w:tabs>
                <w:tab w:val="left" w:pos="567"/>
              </w:tabs>
              <w:spacing w:after="6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Самарџић, Слободан и Радић Милосављевић, Ивана (ур.), </w:t>
            </w:r>
            <w:r w:rsidDel="00000000" w:rsidR="00000000" w:rsidRPr="00000000">
              <w:rPr>
                <w:rFonts w:ascii="Times New Roman" w:cs="Times New Roman" w:eastAsia="Times New Roman" w:hAnsi="Times New Roman"/>
                <w:i w:val="1"/>
                <w:sz w:val="20"/>
                <w:szCs w:val="20"/>
                <w:rtl w:val="0"/>
              </w:rPr>
              <w:t xml:space="preserve">Европска унија: Нове и старе димензије кризе</w:t>
            </w:r>
            <w:r w:rsidDel="00000000" w:rsidR="00000000" w:rsidRPr="00000000">
              <w:rPr>
                <w:rFonts w:ascii="Times New Roman" w:cs="Times New Roman" w:eastAsia="Times New Roman" w:hAnsi="Times New Roman"/>
                <w:sz w:val="20"/>
                <w:szCs w:val="20"/>
                <w:rtl w:val="0"/>
              </w:rPr>
              <w:t xml:space="preserve">, Универзитет у Београду – Факултет политичких наука, Београд, 2016.</w:t>
            </w:r>
          </w:p>
          <w:p w:rsidR="00000000" w:rsidDel="00000000" w:rsidP="00000000" w:rsidRDefault="00000000" w:rsidRPr="00000000" w14:paraId="0000003F">
            <w:pPr>
              <w:tabs>
                <w:tab w:val="left" w:pos="567"/>
              </w:tabs>
              <w:spacing w:after="6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Ивана Радић Милосављевић, "Избори за Европски парламент у време кризе: шта је другачије овог пута", </w:t>
            </w:r>
            <w:r w:rsidDel="00000000" w:rsidR="00000000" w:rsidRPr="00000000">
              <w:rPr>
                <w:rFonts w:ascii="Times New Roman" w:cs="Times New Roman" w:eastAsia="Times New Roman" w:hAnsi="Times New Roman"/>
                <w:i w:val="1"/>
                <w:sz w:val="20"/>
                <w:szCs w:val="20"/>
                <w:rtl w:val="0"/>
              </w:rPr>
              <w:t xml:space="preserve">Годишњак ФПН</w:t>
            </w:r>
            <w:r w:rsidDel="00000000" w:rsidR="00000000" w:rsidRPr="00000000">
              <w:rPr>
                <w:rFonts w:ascii="Times New Roman" w:cs="Times New Roman" w:eastAsia="Times New Roman" w:hAnsi="Times New Roman"/>
                <w:sz w:val="20"/>
                <w:szCs w:val="20"/>
                <w:rtl w:val="0"/>
              </w:rPr>
              <w:t xml:space="preserve">, Универзитет у Београду – Факултет политичких наука, Година IX, бр. 13, 2015, стр. 45-62.</w:t>
            </w:r>
          </w:p>
          <w:p w:rsidR="00000000" w:rsidDel="00000000" w:rsidP="00000000" w:rsidRDefault="00000000" w:rsidRPr="00000000" w14:paraId="00000040">
            <w:pPr>
              <w:tabs>
                <w:tab w:val="left" w:pos="567"/>
              </w:tabs>
              <w:spacing w:after="6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Годишњак ФПН</w:t>
            </w:r>
            <w:r w:rsidDel="00000000" w:rsidR="00000000" w:rsidRPr="00000000">
              <w:rPr>
                <w:rFonts w:ascii="Times New Roman" w:cs="Times New Roman" w:eastAsia="Times New Roman" w:hAnsi="Times New Roman"/>
                <w:sz w:val="20"/>
                <w:szCs w:val="20"/>
                <w:rtl w:val="0"/>
              </w:rPr>
              <w:t xml:space="preserve">, Универзитет у Београду – Факултет политичких наука, specijalni broj, 2019.</w:t>
            </w:r>
          </w:p>
          <w:p w:rsidR="00000000" w:rsidDel="00000000" w:rsidP="00000000" w:rsidRDefault="00000000" w:rsidRPr="00000000" w14:paraId="00000041">
            <w:pPr>
              <w:tabs>
                <w:tab w:val="left" w:pos="567"/>
              </w:tabs>
              <w:spacing w:after="6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Самарџић, Слободан и Радић Милосављевић, Ивана (ур.), </w:t>
            </w:r>
            <w:r w:rsidDel="00000000" w:rsidR="00000000" w:rsidRPr="00000000">
              <w:rPr>
                <w:rFonts w:ascii="Times New Roman" w:cs="Times New Roman" w:eastAsia="Times New Roman" w:hAnsi="Times New Roman"/>
                <w:i w:val="1"/>
                <w:sz w:val="20"/>
                <w:szCs w:val="20"/>
                <w:rtl w:val="0"/>
              </w:rPr>
              <w:t xml:space="preserve">Европски грађанин у времену кризе</w:t>
            </w:r>
            <w:r w:rsidDel="00000000" w:rsidR="00000000" w:rsidRPr="00000000">
              <w:rPr>
                <w:rFonts w:ascii="Times New Roman" w:cs="Times New Roman" w:eastAsia="Times New Roman" w:hAnsi="Times New Roman"/>
                <w:sz w:val="20"/>
                <w:szCs w:val="20"/>
                <w:rtl w:val="0"/>
              </w:rPr>
              <w:t xml:space="preserve">, Чигоја штампа, Београд, 2014.</w:t>
            </w:r>
          </w:p>
          <w:p w:rsidR="00000000" w:rsidDel="00000000" w:rsidP="00000000" w:rsidRDefault="00000000" w:rsidRPr="00000000" w14:paraId="00000042">
            <w:pPr>
              <w:tabs>
                <w:tab w:val="left" w:pos="567"/>
              </w:tabs>
              <w:spacing w:after="6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Слободан Самарџић, Ивана Радић Милосављевић (ур.) </w:t>
            </w:r>
            <w:r w:rsidDel="00000000" w:rsidR="00000000" w:rsidRPr="00000000">
              <w:rPr>
                <w:rFonts w:ascii="Times New Roman" w:cs="Times New Roman" w:eastAsia="Times New Roman" w:hAnsi="Times New Roman"/>
                <w:i w:val="1"/>
                <w:sz w:val="20"/>
                <w:szCs w:val="20"/>
                <w:rtl w:val="0"/>
              </w:rPr>
              <w:t xml:space="preserve">Криза Европске уније:</w:t>
            </w:r>
            <w:r w:rsidDel="00000000" w:rsidR="00000000" w:rsidRPr="00000000">
              <w:rPr>
                <w:i w:val="1"/>
                <w:rtl w:val="0"/>
              </w:rPr>
              <w:t xml:space="preserve"> </w:t>
            </w:r>
            <w:r w:rsidDel="00000000" w:rsidR="00000000" w:rsidRPr="00000000">
              <w:rPr>
                <w:rFonts w:ascii="Times New Roman" w:cs="Times New Roman" w:eastAsia="Times New Roman" w:hAnsi="Times New Roman"/>
                <w:i w:val="1"/>
                <w:sz w:val="20"/>
                <w:szCs w:val="20"/>
                <w:rtl w:val="0"/>
              </w:rPr>
              <w:t xml:space="preserve">шта доноси Уговор о стабилности, координацији и управљању економском и монетарном унијом</w:t>
            </w:r>
            <w:r w:rsidDel="00000000" w:rsidR="00000000" w:rsidRPr="00000000">
              <w:rPr>
                <w:rFonts w:ascii="Times New Roman" w:cs="Times New Roman" w:eastAsia="Times New Roman" w:hAnsi="Times New Roman"/>
                <w:sz w:val="20"/>
                <w:szCs w:val="20"/>
                <w:rtl w:val="0"/>
              </w:rPr>
              <w:t xml:space="preserve">, Службени гласник, Београд, 2013.</w:t>
            </w:r>
          </w:p>
          <w:p w:rsidR="00000000" w:rsidDel="00000000" w:rsidP="00000000" w:rsidRDefault="00000000" w:rsidRPr="00000000" w14:paraId="00000043">
            <w:pPr>
              <w:tabs>
                <w:tab w:val="left" w:pos="567"/>
              </w:tabs>
              <w:spacing w:after="6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Слободан Самарџић, Европска унија – од добровољног савеза до „добре империје“, </w:t>
            </w:r>
            <w:r w:rsidDel="00000000" w:rsidR="00000000" w:rsidRPr="00000000">
              <w:rPr>
                <w:rFonts w:ascii="Times New Roman" w:cs="Times New Roman" w:eastAsia="Times New Roman" w:hAnsi="Times New Roman"/>
                <w:i w:val="1"/>
                <w:sz w:val="20"/>
                <w:szCs w:val="20"/>
                <w:rtl w:val="0"/>
              </w:rPr>
              <w:t xml:space="preserve">Глас, </w:t>
            </w:r>
            <w:r w:rsidDel="00000000" w:rsidR="00000000" w:rsidRPr="00000000">
              <w:rPr>
                <w:rFonts w:ascii="Times New Roman" w:cs="Times New Roman" w:eastAsia="Times New Roman" w:hAnsi="Times New Roman"/>
                <w:sz w:val="20"/>
                <w:szCs w:val="20"/>
                <w:rtl w:val="0"/>
              </w:rPr>
              <w:t xml:space="preserve">САНУ, 2016 </w:t>
            </w:r>
          </w:p>
          <w:p w:rsidR="00000000" w:rsidDel="00000000" w:rsidP="00000000" w:rsidRDefault="00000000" w:rsidRPr="00000000" w14:paraId="00000044">
            <w:pPr>
              <w:tabs>
                <w:tab w:val="left" w:pos="567"/>
              </w:tabs>
              <w:spacing w:after="6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Jurgen Habermas, </w:t>
            </w:r>
            <w:r w:rsidDel="00000000" w:rsidR="00000000" w:rsidRPr="00000000">
              <w:rPr>
                <w:rFonts w:ascii="Times New Roman" w:cs="Times New Roman" w:eastAsia="Times New Roman" w:hAnsi="Times New Roman"/>
                <w:i w:val="1"/>
                <w:sz w:val="20"/>
                <w:szCs w:val="20"/>
                <w:rtl w:val="0"/>
              </w:rPr>
              <w:t xml:space="preserve">The crisis of the European Union</w:t>
            </w:r>
            <w:r w:rsidDel="00000000" w:rsidR="00000000" w:rsidRPr="00000000">
              <w:rPr>
                <w:rFonts w:ascii="Times New Roman" w:cs="Times New Roman" w:eastAsia="Times New Roman" w:hAnsi="Times New Roman"/>
                <w:sz w:val="20"/>
                <w:szCs w:val="20"/>
                <w:rtl w:val="0"/>
              </w:rPr>
              <w:t xml:space="preserve">, A Response, Polity Press, 2012. </w:t>
            </w:r>
          </w:p>
          <w:p w:rsidR="00000000" w:rsidDel="00000000" w:rsidP="00000000" w:rsidRDefault="00000000" w:rsidRPr="00000000" w14:paraId="00000045">
            <w:pPr>
              <w:tabs>
                <w:tab w:val="left" w:pos="567"/>
              </w:tabs>
              <w:spacing w:after="6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Scharpf W. Fritz, „Legitimacy intermediation in the multilevel European polity and its collapse in the Euro crisis“, Max-Planck-Institut für Gesellschaftsforschung Discussion paper, No. 6, 2012. </w:t>
            </w:r>
          </w:p>
          <w:p w:rsidR="00000000" w:rsidDel="00000000" w:rsidP="00000000" w:rsidRDefault="00000000" w:rsidRPr="00000000" w14:paraId="00000046">
            <w:pPr>
              <w:tabs>
                <w:tab w:val="left" w:pos="567"/>
              </w:tabs>
              <w:spacing w:after="6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Бојан Ковачевић,“Федерализам и криза у Европској унији“, </w:t>
            </w:r>
            <w:r w:rsidDel="00000000" w:rsidR="00000000" w:rsidRPr="00000000">
              <w:rPr>
                <w:rFonts w:ascii="Times New Roman" w:cs="Times New Roman" w:eastAsia="Times New Roman" w:hAnsi="Times New Roman"/>
                <w:i w:val="1"/>
                <w:sz w:val="20"/>
                <w:szCs w:val="20"/>
                <w:rtl w:val="0"/>
              </w:rPr>
              <w:t xml:space="preserve">Право и друштво</w:t>
            </w:r>
            <w:r w:rsidDel="00000000" w:rsidR="00000000" w:rsidRPr="00000000">
              <w:rPr>
                <w:rFonts w:ascii="Times New Roman" w:cs="Times New Roman" w:eastAsia="Times New Roman" w:hAnsi="Times New Roman"/>
                <w:sz w:val="20"/>
                <w:szCs w:val="20"/>
                <w:rtl w:val="0"/>
              </w:rPr>
              <w:t xml:space="preserve">, бр.3/4, 2011. </w:t>
            </w:r>
          </w:p>
          <w:p w:rsidR="00000000" w:rsidDel="00000000" w:rsidP="00000000" w:rsidRDefault="00000000" w:rsidRPr="00000000" w14:paraId="00000047">
            <w:pPr>
              <w:tabs>
                <w:tab w:val="left" w:pos="567"/>
              </w:tabs>
              <w:spacing w:after="6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Тејлор, Пол, </w:t>
            </w:r>
            <w:r w:rsidDel="00000000" w:rsidR="00000000" w:rsidRPr="00000000">
              <w:rPr>
                <w:rFonts w:ascii="Times New Roman" w:cs="Times New Roman" w:eastAsia="Times New Roman" w:hAnsi="Times New Roman"/>
                <w:i w:val="1"/>
                <w:sz w:val="20"/>
                <w:szCs w:val="20"/>
                <w:rtl w:val="0"/>
              </w:rPr>
              <w:t xml:space="preserve">Крај европске интеграције</w:t>
            </w:r>
            <w:r w:rsidDel="00000000" w:rsidR="00000000" w:rsidRPr="00000000">
              <w:rPr>
                <w:rFonts w:ascii="Times New Roman" w:cs="Times New Roman" w:eastAsia="Times New Roman" w:hAnsi="Times New Roman"/>
                <w:sz w:val="20"/>
                <w:szCs w:val="20"/>
                <w:rtl w:val="0"/>
              </w:rPr>
              <w:t xml:space="preserve">, Службени гласник и Албатрос плус, Београд, 2010. </w:t>
            </w:r>
          </w:p>
          <w:p w:rsidR="00000000" w:rsidDel="00000000" w:rsidP="00000000" w:rsidRDefault="00000000" w:rsidRPr="00000000" w14:paraId="00000048">
            <w:pPr>
              <w:tabs>
                <w:tab w:val="left" w:pos="567"/>
              </w:tabs>
              <w:spacing w:after="6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Majone, Giandomenico, </w:t>
            </w:r>
            <w:r w:rsidDel="00000000" w:rsidR="00000000" w:rsidRPr="00000000">
              <w:rPr>
                <w:rFonts w:ascii="Times New Roman" w:cs="Times New Roman" w:eastAsia="Times New Roman" w:hAnsi="Times New Roman"/>
                <w:i w:val="1"/>
                <w:sz w:val="20"/>
                <w:szCs w:val="20"/>
                <w:rtl w:val="0"/>
              </w:rPr>
              <w:t xml:space="preserve">Europe as the Would-be World Power</w:t>
            </w:r>
            <w:r w:rsidDel="00000000" w:rsidR="00000000" w:rsidRPr="00000000">
              <w:rPr>
                <w:rFonts w:ascii="Times New Roman" w:cs="Times New Roman" w:eastAsia="Times New Roman" w:hAnsi="Times New Roman"/>
                <w:sz w:val="20"/>
                <w:szCs w:val="20"/>
                <w:rtl w:val="0"/>
              </w:rPr>
              <w:t xml:space="preserve">, Cambridge University Press, 2009.</w:t>
            </w:r>
          </w:p>
          <w:p w:rsidR="00000000" w:rsidDel="00000000" w:rsidP="00000000" w:rsidRDefault="00000000" w:rsidRPr="00000000" w14:paraId="00000049">
            <w:pPr>
              <w:tabs>
                <w:tab w:val="left" w:pos="567"/>
              </w:tabs>
              <w:spacing w:after="6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Majone, Giandomenico, Re-thinking Union of Europe Post-Crisis, Cambridge University Press, 2014.</w:t>
            </w:r>
          </w:p>
          <w:p w:rsidR="00000000" w:rsidDel="00000000" w:rsidP="00000000" w:rsidRDefault="00000000" w:rsidRPr="00000000" w14:paraId="0000004A">
            <w:pPr>
              <w:tabs>
                <w:tab w:val="left" w:pos="567"/>
              </w:tabs>
              <w:spacing w:after="6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Hix Simon, </w:t>
            </w:r>
            <w:r w:rsidDel="00000000" w:rsidR="00000000" w:rsidRPr="00000000">
              <w:rPr>
                <w:rFonts w:ascii="Times New Roman" w:cs="Times New Roman" w:eastAsia="Times New Roman" w:hAnsi="Times New Roman"/>
                <w:i w:val="1"/>
                <w:sz w:val="20"/>
                <w:szCs w:val="20"/>
                <w:rtl w:val="0"/>
              </w:rPr>
              <w:t xml:space="preserve">What’s wrong with the EU and how to fix it?</w:t>
            </w:r>
            <w:r w:rsidDel="00000000" w:rsidR="00000000" w:rsidRPr="00000000">
              <w:rPr>
                <w:rFonts w:ascii="Times New Roman" w:cs="Times New Roman" w:eastAsia="Times New Roman" w:hAnsi="Times New Roman"/>
                <w:sz w:val="20"/>
                <w:szCs w:val="20"/>
                <w:rtl w:val="0"/>
              </w:rPr>
              <w:t xml:space="preserve">, Polity Press, Cambridge, 2008. </w:t>
            </w:r>
          </w:p>
        </w:tc>
      </w:tr>
      <w:tr>
        <w:trPr>
          <w:trHeight w:val="227" w:hRule="atLeast"/>
        </w:trPr>
        <w:tc>
          <w:tcPr>
            <w:vAlign w:val="center"/>
          </w:tcPr>
          <w:p w:rsidR="00000000" w:rsidDel="00000000" w:rsidP="00000000" w:rsidRDefault="00000000" w:rsidRPr="00000000" w14:paraId="0000004F">
            <w:pPr>
              <w:tabs>
                <w:tab w:val="left" w:pos="567"/>
              </w:tabs>
              <w:spacing w:after="60" w:lineRule="auto"/>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Број часова  активне наставе</w:t>
            </w:r>
          </w:p>
        </w:tc>
        <w:tc>
          <w:tcPr>
            <w:gridSpan w:val="2"/>
            <w:vAlign w:val="center"/>
          </w:tcPr>
          <w:p w:rsidR="00000000" w:rsidDel="00000000" w:rsidP="00000000" w:rsidRDefault="00000000" w:rsidRPr="00000000" w14:paraId="00000050">
            <w:pPr>
              <w:tabs>
                <w:tab w:val="left" w:pos="567"/>
              </w:tabs>
              <w:spacing w:after="60" w:lineRule="auto"/>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Теоријска настава: </w:t>
            </w:r>
            <w:r w:rsidDel="00000000" w:rsidR="00000000" w:rsidRPr="00000000">
              <w:rPr>
                <w:rFonts w:ascii="Times New Roman" w:cs="Times New Roman" w:eastAsia="Times New Roman" w:hAnsi="Times New Roman"/>
                <w:sz w:val="20"/>
                <w:szCs w:val="20"/>
                <w:rtl w:val="0"/>
              </w:rPr>
              <w:t xml:space="preserve">30</w:t>
            </w:r>
            <w:r w:rsidDel="00000000" w:rsidR="00000000" w:rsidRPr="00000000">
              <w:rPr>
                <w:rtl w:val="0"/>
              </w:rPr>
            </w:r>
          </w:p>
        </w:tc>
        <w:tc>
          <w:tcPr>
            <w:gridSpan w:val="2"/>
            <w:vAlign w:val="center"/>
          </w:tcPr>
          <w:p w:rsidR="00000000" w:rsidDel="00000000" w:rsidP="00000000" w:rsidRDefault="00000000" w:rsidRPr="00000000" w14:paraId="00000052">
            <w:pPr>
              <w:tabs>
                <w:tab w:val="left" w:pos="567"/>
              </w:tabs>
              <w:spacing w:after="60" w:lineRule="auto"/>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Практична настава: </w:t>
            </w:r>
            <w:r w:rsidDel="00000000" w:rsidR="00000000" w:rsidRPr="00000000">
              <w:rPr>
                <w:rFonts w:ascii="Times New Roman" w:cs="Times New Roman" w:eastAsia="Times New Roman" w:hAnsi="Times New Roman"/>
                <w:sz w:val="20"/>
                <w:szCs w:val="20"/>
                <w:rtl w:val="0"/>
              </w:rPr>
              <w:t xml:space="preserve">15+15</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54">
            <w:pPr>
              <w:tabs>
                <w:tab w:val="left" w:pos="567"/>
              </w:tabs>
              <w:spacing w:after="60" w:lineRule="auto"/>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Методе извођења наставе</w:t>
            </w:r>
          </w:p>
          <w:p w:rsidR="00000000" w:rsidDel="00000000" w:rsidP="00000000" w:rsidRDefault="00000000" w:rsidRPr="00000000" w14:paraId="00000055">
            <w:pPr>
              <w:tabs>
                <w:tab w:val="left" w:pos="567"/>
              </w:tabs>
              <w:spacing w:after="6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Предавања, вежбе, дискусије, радионице, презентације студената и наставника</w:t>
            </w:r>
          </w:p>
        </w:tc>
      </w:tr>
      <w:tr>
        <w:trPr>
          <w:trHeight w:val="227" w:hRule="atLeast"/>
        </w:trPr>
        <w:tc>
          <w:tcPr>
            <w:gridSpan w:val="5"/>
            <w:vAlign w:val="center"/>
          </w:tcPr>
          <w:p w:rsidR="00000000" w:rsidDel="00000000" w:rsidP="00000000" w:rsidRDefault="00000000" w:rsidRPr="00000000" w14:paraId="0000005A">
            <w:pPr>
              <w:tabs>
                <w:tab w:val="left" w:pos="567"/>
              </w:tabs>
              <w:spacing w:after="60" w:lineRule="auto"/>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Оцена  знања (максимални број поена 100)</w:t>
            </w:r>
          </w:p>
        </w:tc>
      </w:tr>
      <w:tr>
        <w:trPr>
          <w:trHeight w:val="227" w:hRule="atLeast"/>
        </w:trPr>
        <w:tc>
          <w:tcPr>
            <w:vAlign w:val="center"/>
          </w:tcPr>
          <w:p w:rsidR="00000000" w:rsidDel="00000000" w:rsidP="00000000" w:rsidRDefault="00000000" w:rsidRPr="00000000" w14:paraId="0000005F">
            <w:pPr>
              <w:tabs>
                <w:tab w:val="left" w:pos="567"/>
              </w:tabs>
              <w:spacing w:after="60" w:lineRule="auto"/>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Предиспитне обавезе</w:t>
            </w:r>
          </w:p>
        </w:tc>
        <w:tc>
          <w:tcPr>
            <w:vAlign w:val="center"/>
          </w:tcPr>
          <w:p w:rsidR="00000000" w:rsidDel="00000000" w:rsidP="00000000" w:rsidRDefault="00000000" w:rsidRPr="00000000" w14:paraId="00000060">
            <w:pPr>
              <w:tabs>
                <w:tab w:val="left" w:pos="567"/>
              </w:tabs>
              <w:spacing w:after="6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поена</w:t>
            </w:r>
          </w:p>
          <w:p w:rsidR="00000000" w:rsidDel="00000000" w:rsidP="00000000" w:rsidRDefault="00000000" w:rsidRPr="00000000" w14:paraId="00000061">
            <w:pPr>
              <w:tabs>
                <w:tab w:val="left" w:pos="567"/>
              </w:tabs>
              <w:spacing w:after="60" w:lineRule="auto"/>
              <w:jc w:val="both"/>
              <w:rPr>
                <w:rFonts w:ascii="Times New Roman" w:cs="Times New Roman" w:eastAsia="Times New Roman" w:hAnsi="Times New Roman"/>
                <w:b w:val="1"/>
                <w:sz w:val="20"/>
                <w:szCs w:val="20"/>
              </w:rPr>
            </w:pPr>
            <w:r w:rsidDel="00000000" w:rsidR="00000000" w:rsidRPr="00000000">
              <w:rPr>
                <w:rtl w:val="0"/>
              </w:rPr>
            </w:r>
          </w:p>
        </w:tc>
        <w:tc>
          <w:tcPr>
            <w:gridSpan w:val="2"/>
            <w:shd w:fill="auto" w:val="clear"/>
            <w:vAlign w:val="center"/>
          </w:tcPr>
          <w:p w:rsidR="00000000" w:rsidDel="00000000" w:rsidP="00000000" w:rsidRDefault="00000000" w:rsidRPr="00000000" w14:paraId="00000062">
            <w:pPr>
              <w:tabs>
                <w:tab w:val="left" w:pos="567"/>
              </w:tabs>
              <w:spacing w:after="60" w:lineRule="auto"/>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Завршни испит </w:t>
            </w:r>
          </w:p>
        </w:tc>
        <w:tc>
          <w:tcPr>
            <w:shd w:fill="auto" w:val="clear"/>
            <w:vAlign w:val="center"/>
          </w:tcPr>
          <w:p w:rsidR="00000000" w:rsidDel="00000000" w:rsidP="00000000" w:rsidRDefault="00000000" w:rsidRPr="00000000" w14:paraId="00000064">
            <w:pPr>
              <w:tabs>
                <w:tab w:val="left" w:pos="567"/>
              </w:tabs>
              <w:spacing w:after="60" w:lineRule="auto"/>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поена</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65">
            <w:pPr>
              <w:tabs>
                <w:tab w:val="left" w:pos="567"/>
              </w:tabs>
              <w:spacing w:after="60" w:lineRule="auto"/>
              <w:jc w:val="both"/>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активност у току предавања</w:t>
            </w:r>
            <w:r w:rsidDel="00000000" w:rsidR="00000000" w:rsidRPr="00000000">
              <w:rPr>
                <w:rtl w:val="0"/>
              </w:rPr>
            </w:r>
          </w:p>
        </w:tc>
        <w:tc>
          <w:tcPr>
            <w:vAlign w:val="center"/>
          </w:tcPr>
          <w:p w:rsidR="00000000" w:rsidDel="00000000" w:rsidP="00000000" w:rsidRDefault="00000000" w:rsidRPr="00000000" w14:paraId="00000066">
            <w:pPr>
              <w:tabs>
                <w:tab w:val="left" w:pos="567"/>
              </w:tabs>
              <w:spacing w:after="60" w:lineRule="auto"/>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10</w:t>
            </w:r>
          </w:p>
        </w:tc>
        <w:tc>
          <w:tcPr>
            <w:gridSpan w:val="2"/>
            <w:shd w:fill="auto" w:val="clear"/>
            <w:vAlign w:val="center"/>
          </w:tcPr>
          <w:p w:rsidR="00000000" w:rsidDel="00000000" w:rsidP="00000000" w:rsidRDefault="00000000" w:rsidRPr="00000000" w14:paraId="00000067">
            <w:pPr>
              <w:tabs>
                <w:tab w:val="left" w:pos="567"/>
              </w:tabs>
              <w:spacing w:after="60" w:lineRule="auto"/>
              <w:jc w:val="both"/>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писмени испит</w:t>
            </w:r>
            <w:r w:rsidDel="00000000" w:rsidR="00000000" w:rsidRPr="00000000">
              <w:rPr>
                <w:rtl w:val="0"/>
              </w:rPr>
            </w:r>
          </w:p>
        </w:tc>
        <w:tc>
          <w:tcPr>
            <w:shd w:fill="auto" w:val="clear"/>
            <w:vAlign w:val="center"/>
          </w:tcPr>
          <w:p w:rsidR="00000000" w:rsidDel="00000000" w:rsidP="00000000" w:rsidRDefault="00000000" w:rsidRPr="00000000" w14:paraId="00000069">
            <w:pPr>
              <w:tabs>
                <w:tab w:val="left" w:pos="567"/>
              </w:tabs>
              <w:spacing w:after="60" w:lineRule="auto"/>
              <w:jc w:val="both"/>
              <w:rPr>
                <w:rFonts w:ascii="Times New Roman" w:cs="Times New Roman" w:eastAsia="Times New Roman" w:hAnsi="Times New Roman"/>
                <w:i w:val="1"/>
                <w:sz w:val="20"/>
                <w:szCs w:val="20"/>
              </w:rPr>
            </w:pPr>
            <w:r w:rsidDel="00000000" w:rsidR="00000000" w:rsidRPr="00000000">
              <w:rPr>
                <w:rtl w:val="0"/>
              </w:rPr>
            </w:r>
          </w:p>
        </w:tc>
      </w:tr>
      <w:tr>
        <w:trPr>
          <w:trHeight w:val="227" w:hRule="atLeast"/>
        </w:trPr>
        <w:tc>
          <w:tcPr>
            <w:vAlign w:val="center"/>
          </w:tcPr>
          <w:p w:rsidR="00000000" w:rsidDel="00000000" w:rsidP="00000000" w:rsidRDefault="00000000" w:rsidRPr="00000000" w14:paraId="0000006A">
            <w:pPr>
              <w:tabs>
                <w:tab w:val="left" w:pos="567"/>
              </w:tabs>
              <w:spacing w:after="60" w:lineRule="auto"/>
              <w:jc w:val="both"/>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практична настава</w:t>
            </w:r>
            <w:r w:rsidDel="00000000" w:rsidR="00000000" w:rsidRPr="00000000">
              <w:rPr>
                <w:rtl w:val="0"/>
              </w:rPr>
            </w:r>
          </w:p>
        </w:tc>
        <w:tc>
          <w:tcPr>
            <w:vAlign w:val="center"/>
          </w:tcPr>
          <w:p w:rsidR="00000000" w:rsidDel="00000000" w:rsidP="00000000" w:rsidRDefault="00000000" w:rsidRPr="00000000" w14:paraId="0000006B">
            <w:pPr>
              <w:tabs>
                <w:tab w:val="left" w:pos="567"/>
              </w:tabs>
              <w:spacing w:after="60" w:lineRule="auto"/>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30</w:t>
            </w:r>
          </w:p>
        </w:tc>
        <w:tc>
          <w:tcPr>
            <w:gridSpan w:val="2"/>
            <w:shd w:fill="auto" w:val="clear"/>
            <w:vAlign w:val="center"/>
          </w:tcPr>
          <w:p w:rsidR="00000000" w:rsidDel="00000000" w:rsidP="00000000" w:rsidRDefault="00000000" w:rsidRPr="00000000" w14:paraId="0000006C">
            <w:pPr>
              <w:tabs>
                <w:tab w:val="left" w:pos="567"/>
              </w:tabs>
              <w:spacing w:after="60" w:lineRule="auto"/>
              <w:jc w:val="both"/>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усмени испит</w:t>
            </w:r>
            <w:r w:rsidDel="00000000" w:rsidR="00000000" w:rsidRPr="00000000">
              <w:rPr>
                <w:rtl w:val="0"/>
              </w:rPr>
            </w:r>
          </w:p>
        </w:tc>
        <w:tc>
          <w:tcPr>
            <w:shd w:fill="auto" w:val="clear"/>
            <w:vAlign w:val="center"/>
          </w:tcPr>
          <w:p w:rsidR="00000000" w:rsidDel="00000000" w:rsidP="00000000" w:rsidRDefault="00000000" w:rsidRPr="00000000" w14:paraId="0000006E">
            <w:pPr>
              <w:tabs>
                <w:tab w:val="left" w:pos="567"/>
              </w:tabs>
              <w:spacing w:after="60" w:lineRule="auto"/>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60</w:t>
            </w:r>
          </w:p>
        </w:tc>
      </w:tr>
      <w:tr>
        <w:trPr>
          <w:trHeight w:val="227" w:hRule="atLeast"/>
        </w:trPr>
        <w:tc>
          <w:tcPr>
            <w:vAlign w:val="center"/>
          </w:tcPr>
          <w:p w:rsidR="00000000" w:rsidDel="00000000" w:rsidP="00000000" w:rsidRDefault="00000000" w:rsidRPr="00000000" w14:paraId="0000006F">
            <w:pPr>
              <w:tabs>
                <w:tab w:val="left" w:pos="567"/>
              </w:tabs>
              <w:spacing w:after="60" w:lineRule="auto"/>
              <w:jc w:val="both"/>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колоквијум-и</w:t>
            </w:r>
            <w:r w:rsidDel="00000000" w:rsidR="00000000" w:rsidRPr="00000000">
              <w:rPr>
                <w:rtl w:val="0"/>
              </w:rPr>
            </w:r>
          </w:p>
        </w:tc>
        <w:tc>
          <w:tcPr>
            <w:vAlign w:val="center"/>
          </w:tcPr>
          <w:p w:rsidR="00000000" w:rsidDel="00000000" w:rsidP="00000000" w:rsidRDefault="00000000" w:rsidRPr="00000000" w14:paraId="00000070">
            <w:pPr>
              <w:tabs>
                <w:tab w:val="left" w:pos="567"/>
              </w:tabs>
              <w:spacing w:after="60" w:lineRule="auto"/>
              <w:jc w:val="both"/>
              <w:rPr>
                <w:rFonts w:ascii="Times New Roman" w:cs="Times New Roman" w:eastAsia="Times New Roman" w:hAnsi="Times New Roman"/>
                <w:b w:val="1"/>
                <w:sz w:val="20"/>
                <w:szCs w:val="20"/>
              </w:rPr>
            </w:pPr>
            <w:r w:rsidDel="00000000" w:rsidR="00000000" w:rsidRPr="00000000">
              <w:rPr>
                <w:rtl w:val="0"/>
              </w:rPr>
            </w:r>
          </w:p>
        </w:tc>
        <w:tc>
          <w:tcPr>
            <w:gridSpan w:val="2"/>
            <w:shd w:fill="auto" w:val="clear"/>
            <w:vAlign w:val="center"/>
          </w:tcPr>
          <w:p w:rsidR="00000000" w:rsidDel="00000000" w:rsidP="00000000" w:rsidRDefault="00000000" w:rsidRPr="00000000" w14:paraId="00000071">
            <w:pPr>
              <w:tabs>
                <w:tab w:val="left" w:pos="567"/>
              </w:tabs>
              <w:spacing w:after="6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презентација пројекта</w:t>
            </w:r>
          </w:p>
        </w:tc>
        <w:tc>
          <w:tcPr>
            <w:shd w:fill="auto" w:val="clear"/>
            <w:vAlign w:val="center"/>
          </w:tcPr>
          <w:p w:rsidR="00000000" w:rsidDel="00000000" w:rsidP="00000000" w:rsidRDefault="00000000" w:rsidRPr="00000000" w14:paraId="00000073">
            <w:pPr>
              <w:tabs>
                <w:tab w:val="left" w:pos="567"/>
              </w:tabs>
              <w:spacing w:after="60" w:lineRule="auto"/>
              <w:jc w:val="both"/>
              <w:rPr>
                <w:rFonts w:ascii="Times New Roman" w:cs="Times New Roman" w:eastAsia="Times New Roman" w:hAnsi="Times New Roman"/>
                <w:i w:val="1"/>
                <w:sz w:val="20"/>
                <w:szCs w:val="20"/>
              </w:rPr>
            </w:pPr>
            <w:r w:rsidDel="00000000" w:rsidR="00000000" w:rsidRPr="00000000">
              <w:rPr>
                <w:rtl w:val="0"/>
              </w:rPr>
            </w:r>
          </w:p>
        </w:tc>
      </w:tr>
      <w:tr>
        <w:trPr>
          <w:trHeight w:val="227" w:hRule="atLeast"/>
        </w:trPr>
        <w:tc>
          <w:tcPr>
            <w:vAlign w:val="center"/>
          </w:tcPr>
          <w:p w:rsidR="00000000" w:rsidDel="00000000" w:rsidP="00000000" w:rsidRDefault="00000000" w:rsidRPr="00000000" w14:paraId="00000074">
            <w:pPr>
              <w:tabs>
                <w:tab w:val="left" w:pos="567"/>
              </w:tabs>
              <w:spacing w:after="6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семинар-и</w:t>
            </w:r>
          </w:p>
        </w:tc>
        <w:tc>
          <w:tcPr>
            <w:vAlign w:val="center"/>
          </w:tcPr>
          <w:p w:rsidR="00000000" w:rsidDel="00000000" w:rsidP="00000000" w:rsidRDefault="00000000" w:rsidRPr="00000000" w14:paraId="00000075">
            <w:pPr>
              <w:tabs>
                <w:tab w:val="left" w:pos="567"/>
              </w:tabs>
              <w:spacing w:after="60" w:lineRule="auto"/>
              <w:jc w:val="both"/>
              <w:rPr>
                <w:rFonts w:ascii="Times New Roman" w:cs="Times New Roman" w:eastAsia="Times New Roman" w:hAnsi="Times New Roman"/>
                <w:b w:val="1"/>
                <w:sz w:val="20"/>
                <w:szCs w:val="20"/>
              </w:rPr>
            </w:pPr>
            <w:r w:rsidDel="00000000" w:rsidR="00000000" w:rsidRPr="00000000">
              <w:rPr>
                <w:rtl w:val="0"/>
              </w:rPr>
            </w:r>
          </w:p>
        </w:tc>
        <w:tc>
          <w:tcPr>
            <w:gridSpan w:val="2"/>
            <w:shd w:fill="auto" w:val="clear"/>
            <w:vAlign w:val="center"/>
          </w:tcPr>
          <w:p w:rsidR="00000000" w:rsidDel="00000000" w:rsidP="00000000" w:rsidRDefault="00000000" w:rsidRPr="00000000" w14:paraId="00000076">
            <w:pPr>
              <w:tabs>
                <w:tab w:val="left" w:pos="567"/>
              </w:tabs>
              <w:spacing w:after="60" w:lineRule="auto"/>
              <w:jc w:val="both"/>
              <w:rPr>
                <w:rFonts w:ascii="Times New Roman" w:cs="Times New Roman" w:eastAsia="Times New Roman" w:hAnsi="Times New Roman"/>
                <w:i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78">
            <w:pPr>
              <w:tabs>
                <w:tab w:val="left" w:pos="567"/>
              </w:tabs>
              <w:spacing w:after="60" w:lineRule="auto"/>
              <w:jc w:val="both"/>
              <w:rPr>
                <w:rFonts w:ascii="Times New Roman" w:cs="Times New Roman" w:eastAsia="Times New Roman" w:hAnsi="Times New Roman"/>
                <w:i w:val="1"/>
                <w:sz w:val="20"/>
                <w:szCs w:val="20"/>
              </w:rPr>
            </w:pPr>
            <w:r w:rsidDel="00000000" w:rsidR="00000000" w:rsidRPr="00000000">
              <w:rPr>
                <w:rtl w:val="0"/>
              </w:rPr>
            </w:r>
          </w:p>
        </w:tc>
      </w:tr>
    </w:tbl>
    <w:p w:rsidR="00000000" w:rsidDel="00000000" w:rsidP="00000000" w:rsidRDefault="00000000" w:rsidRPr="00000000" w14:paraId="00000079">
      <w:pPr>
        <w:jc w:val="both"/>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sr-Cyrl-C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E6FD7"/>
    <w:pPr>
      <w:spacing w:after="0" w:line="240" w:lineRule="auto"/>
    </w:pPr>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Default" w:customStyle="1">
    <w:name w:val="Default"/>
    <w:rsid w:val="00EC12E7"/>
    <w:pPr>
      <w:autoSpaceDE w:val="0"/>
      <w:autoSpaceDN w:val="0"/>
      <w:adjustRightInd w:val="0"/>
      <w:spacing w:after="0" w:line="240" w:lineRule="auto"/>
    </w:pPr>
    <w:rPr>
      <w:rFonts w:ascii="Times New Roman" w:cs="Times New Roman" w:hAnsi="Times New Roman"/>
      <w:color w:val="000000"/>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CHv2CWJ7Ww4bvyXV308jGFQj4A==">AMUW2mV5hbWVM2xNvgb13+oLvYX3/6MmswL/eScH8cMUX+LL5AAy/s7n5onhd9E28jsV9QL910qakUlD6eQ9x3ok53iE2TDerC0XEYYfpqrtYXq9RhOomk0=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2021-04-19T21:09:00Z</dcterms:created>
  <dc:creator>Ivana Radic Milosavljevic</dc:creator>
</cp:coreProperties>
</file>